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37F" w:rsidRDefault="00DA237F" w:rsidP="00DA237F">
      <w:pPr>
        <w:pStyle w:val="Cmsor1"/>
        <w:jc w:val="center"/>
        <w:rPr>
          <w:szCs w:val="44"/>
        </w:rPr>
      </w:pPr>
      <w:r>
        <w:rPr>
          <w:szCs w:val="44"/>
        </w:rPr>
        <w:t>INGATLANFORGALMI ÉRTÉKBECSLÉS</w:t>
      </w:r>
    </w:p>
    <w:p w:rsidR="00DA237F" w:rsidRDefault="00DA237F" w:rsidP="00DA237F">
      <w:pPr>
        <w:jc w:val="center"/>
        <w:rPr>
          <w:b/>
          <w:sz w:val="44"/>
          <w:szCs w:val="44"/>
        </w:rPr>
      </w:pPr>
    </w:p>
    <w:p w:rsidR="00DA237F" w:rsidRDefault="00DA237F" w:rsidP="00DA237F">
      <w:pPr>
        <w:rPr>
          <w:sz w:val="44"/>
          <w:szCs w:val="44"/>
        </w:rPr>
      </w:pPr>
    </w:p>
    <w:p w:rsidR="00DA237F" w:rsidRDefault="00DA237F" w:rsidP="00DA237F"/>
    <w:p w:rsidR="00DA237F" w:rsidRDefault="00DA237F" w:rsidP="00DA237F"/>
    <w:p w:rsidR="00DA237F" w:rsidRDefault="00DA237F" w:rsidP="00DA237F"/>
    <w:p w:rsidR="00DA237F" w:rsidRDefault="00DA237F" w:rsidP="00DA237F"/>
    <w:p w:rsidR="002857D5" w:rsidRDefault="002857D5" w:rsidP="00DA237F">
      <w:pPr>
        <w:jc w:val="center"/>
        <w:rPr>
          <w:rFonts w:cstheme="minorHAnsi"/>
          <w:sz w:val="32"/>
          <w:szCs w:val="32"/>
        </w:rPr>
      </w:pPr>
      <w:r>
        <w:rPr>
          <w:rFonts w:cstheme="minorHAnsi"/>
          <w:sz w:val="32"/>
          <w:szCs w:val="32"/>
        </w:rPr>
        <w:t xml:space="preserve">2337.Délegyháza </w:t>
      </w:r>
      <w:proofErr w:type="spellStart"/>
      <w:r>
        <w:rPr>
          <w:rFonts w:cstheme="minorHAnsi"/>
          <w:sz w:val="32"/>
          <w:szCs w:val="32"/>
        </w:rPr>
        <w:t>Petöfi</w:t>
      </w:r>
      <w:proofErr w:type="spellEnd"/>
      <w:r>
        <w:rPr>
          <w:rFonts w:cstheme="minorHAnsi"/>
          <w:sz w:val="32"/>
          <w:szCs w:val="32"/>
        </w:rPr>
        <w:t xml:space="preserve"> u. 48/B</w:t>
      </w:r>
      <w:r w:rsidR="00DA237F">
        <w:rPr>
          <w:rFonts w:cstheme="minorHAnsi"/>
          <w:sz w:val="32"/>
          <w:szCs w:val="32"/>
        </w:rPr>
        <w:t xml:space="preserve">, </w:t>
      </w:r>
    </w:p>
    <w:p w:rsidR="00DA237F" w:rsidRDefault="002857D5" w:rsidP="00DA237F">
      <w:pPr>
        <w:jc w:val="center"/>
        <w:rPr>
          <w:rFonts w:cstheme="minorHAnsi"/>
          <w:sz w:val="32"/>
          <w:szCs w:val="32"/>
        </w:rPr>
      </w:pPr>
      <w:r>
        <w:rPr>
          <w:rFonts w:cstheme="minorHAnsi"/>
          <w:sz w:val="32"/>
          <w:szCs w:val="32"/>
        </w:rPr>
        <w:t>144</w:t>
      </w:r>
      <w:r w:rsidR="00DA237F">
        <w:rPr>
          <w:rFonts w:cstheme="minorHAnsi"/>
          <w:sz w:val="32"/>
          <w:szCs w:val="32"/>
        </w:rPr>
        <w:t>/1 Hrsz.</w:t>
      </w:r>
    </w:p>
    <w:p w:rsidR="00DA237F" w:rsidRDefault="00DA237F" w:rsidP="00DA237F">
      <w:pPr>
        <w:jc w:val="center"/>
        <w:rPr>
          <w:sz w:val="40"/>
          <w:szCs w:val="40"/>
        </w:rPr>
      </w:pPr>
    </w:p>
    <w:p w:rsidR="00DA237F" w:rsidRDefault="00DA237F" w:rsidP="00DA237F">
      <w:pPr>
        <w:rPr>
          <w:sz w:val="40"/>
          <w:szCs w:val="40"/>
        </w:rPr>
      </w:pPr>
    </w:p>
    <w:p w:rsidR="00DA237F" w:rsidRDefault="00DA237F" w:rsidP="00DA237F">
      <w:pPr>
        <w:rPr>
          <w:sz w:val="40"/>
          <w:szCs w:val="40"/>
        </w:rPr>
      </w:pPr>
    </w:p>
    <w:p w:rsidR="00DA237F" w:rsidRDefault="00DA237F" w:rsidP="00DA237F">
      <w:pPr>
        <w:rPr>
          <w:sz w:val="40"/>
          <w:szCs w:val="40"/>
        </w:rPr>
      </w:pPr>
    </w:p>
    <w:p w:rsidR="00DA237F" w:rsidRDefault="00DA237F" w:rsidP="00DA237F">
      <w:pPr>
        <w:rPr>
          <w:sz w:val="40"/>
          <w:szCs w:val="40"/>
        </w:rPr>
      </w:pPr>
    </w:p>
    <w:p w:rsidR="002857D5" w:rsidRDefault="002857D5" w:rsidP="00DA237F">
      <w:pPr>
        <w:pStyle w:val="Cmsor1"/>
      </w:pPr>
    </w:p>
    <w:p w:rsidR="00DA237F" w:rsidRDefault="00DA237F" w:rsidP="00DA237F">
      <w:pPr>
        <w:pStyle w:val="Cmsor1"/>
        <w:rPr>
          <w:szCs w:val="26"/>
        </w:rPr>
      </w:pPr>
      <w:r>
        <w:t xml:space="preserve">                                                                                                      ÉRTÉKELÉSI BIZONYÍTVÁNY</w:t>
      </w:r>
    </w:p>
    <w:p w:rsidR="00DA237F" w:rsidRDefault="00DA237F" w:rsidP="00DA237F">
      <w:pPr>
        <w:pStyle w:val="Cmsor1"/>
        <w:rPr>
          <w:sz w:val="32"/>
        </w:rPr>
      </w:pPr>
    </w:p>
    <w:p w:rsidR="00DA237F" w:rsidRDefault="00DA237F" w:rsidP="00DA237F">
      <w:proofErr w:type="spellStart"/>
      <w:r>
        <w:rPr>
          <w:b/>
        </w:rPr>
        <w:t>-Értékelés</w:t>
      </w:r>
      <w:proofErr w:type="spellEnd"/>
      <w:r>
        <w:rPr>
          <w:b/>
        </w:rPr>
        <w:t xml:space="preserve"> tárgya</w:t>
      </w:r>
      <w:r>
        <w:t>:2337.Déle</w:t>
      </w:r>
      <w:r w:rsidR="002857D5">
        <w:t>gyháza</w:t>
      </w:r>
      <w:proofErr w:type="gramStart"/>
      <w:r w:rsidR="002857D5">
        <w:t>,Petőfi</w:t>
      </w:r>
      <w:proofErr w:type="gramEnd"/>
      <w:r w:rsidR="002857D5">
        <w:t xml:space="preserve"> u.48/B,Hrsz.:144/1</w:t>
      </w:r>
    </w:p>
    <w:p w:rsidR="00DA237F" w:rsidRDefault="00DA237F" w:rsidP="00DA237F">
      <w:proofErr w:type="spellStart"/>
      <w:r>
        <w:rPr>
          <w:b/>
        </w:rPr>
        <w:t>-Értékelés</w:t>
      </w:r>
      <w:proofErr w:type="spellEnd"/>
      <w:r>
        <w:rPr>
          <w:b/>
        </w:rPr>
        <w:t xml:space="preserve"> időpontja:</w:t>
      </w:r>
      <w:r w:rsidR="002857D5">
        <w:t>2024</w:t>
      </w:r>
      <w:r>
        <w:t>.</w:t>
      </w:r>
      <w:r w:rsidR="002857D5">
        <w:t>05.28.</w:t>
      </w:r>
    </w:p>
    <w:p w:rsidR="00DA237F" w:rsidRDefault="00DA237F" w:rsidP="00DA237F">
      <w:proofErr w:type="spellStart"/>
      <w:r>
        <w:rPr>
          <w:b/>
        </w:rPr>
        <w:t>-Értékelés</w:t>
      </w:r>
      <w:proofErr w:type="spellEnd"/>
      <w:r>
        <w:rPr>
          <w:b/>
        </w:rPr>
        <w:t xml:space="preserve"> hatálya:</w:t>
      </w:r>
      <w:r w:rsidR="002857D5">
        <w:t>2024.11.28.</w:t>
      </w:r>
    </w:p>
    <w:p w:rsidR="00DA237F" w:rsidRDefault="00DA237F" w:rsidP="00DA237F">
      <w:proofErr w:type="spellStart"/>
      <w:r>
        <w:rPr>
          <w:b/>
        </w:rPr>
        <w:t>-Ingatlan</w:t>
      </w:r>
      <w:proofErr w:type="spellEnd"/>
      <w:r>
        <w:rPr>
          <w:b/>
        </w:rPr>
        <w:t xml:space="preserve"> bemutatása:</w:t>
      </w:r>
      <w:r w:rsidR="00C04742">
        <w:rPr>
          <w:b/>
        </w:rPr>
        <w:t xml:space="preserve"> </w:t>
      </w:r>
      <w:r w:rsidR="00C04742" w:rsidRPr="00C04742">
        <w:t>Kivett</w:t>
      </w:r>
      <w:r>
        <w:t xml:space="preserve"> </w:t>
      </w:r>
      <w:r w:rsidR="00C04742">
        <w:t>l</w:t>
      </w:r>
      <w:r w:rsidR="002857D5">
        <w:t>akóház</w:t>
      </w:r>
      <w:r w:rsidR="00C04742">
        <w:t>,</w:t>
      </w:r>
      <w:r w:rsidR="002857D5">
        <w:t xml:space="preserve"> udvar </w:t>
      </w:r>
    </w:p>
    <w:p w:rsidR="00DA237F" w:rsidRDefault="00DA237F" w:rsidP="00DA237F">
      <w:proofErr w:type="spellStart"/>
      <w:r>
        <w:rPr>
          <w:b/>
        </w:rPr>
        <w:t>-Értékelés</w:t>
      </w:r>
      <w:proofErr w:type="spellEnd"/>
      <w:r>
        <w:rPr>
          <w:b/>
        </w:rPr>
        <w:t xml:space="preserve"> célja:</w:t>
      </w:r>
      <w:r>
        <w:t xml:space="preserve"> Piaci forgalmi érték meghatározása </w:t>
      </w:r>
    </w:p>
    <w:p w:rsidR="00DA237F" w:rsidRDefault="00DA237F" w:rsidP="00DA237F">
      <w:pPr>
        <w:rPr>
          <w:sz w:val="32"/>
          <w:szCs w:val="32"/>
        </w:rPr>
      </w:pPr>
    </w:p>
    <w:p w:rsidR="00DA237F" w:rsidRDefault="00C04742" w:rsidP="00DA237F">
      <w:pPr>
        <w:pStyle w:val="Cmsor1"/>
        <w:jc w:val="center"/>
        <w:rPr>
          <w:szCs w:val="40"/>
        </w:rPr>
      </w:pPr>
      <w:r>
        <w:rPr>
          <w:szCs w:val="40"/>
        </w:rPr>
        <w:t>Forgalmi értéke:</w:t>
      </w:r>
      <w:r w:rsidR="00806EF6">
        <w:rPr>
          <w:szCs w:val="40"/>
        </w:rPr>
        <w:t>44 428 831</w:t>
      </w:r>
      <w:r w:rsidR="00DA237F">
        <w:rPr>
          <w:szCs w:val="40"/>
        </w:rPr>
        <w:t xml:space="preserve"> </w:t>
      </w:r>
      <w:r w:rsidR="00DA237F">
        <w:t>Ft</w:t>
      </w:r>
    </w:p>
    <w:p w:rsidR="00DA237F" w:rsidRDefault="00DA237F" w:rsidP="00DA237F">
      <w:pPr>
        <w:rPr>
          <w:sz w:val="32"/>
          <w:szCs w:val="32"/>
        </w:rPr>
      </w:pPr>
    </w:p>
    <w:p w:rsidR="00DA237F" w:rsidRDefault="00DA237F" w:rsidP="00DA237F">
      <w:pPr>
        <w:rPr>
          <w:sz w:val="32"/>
          <w:szCs w:val="32"/>
        </w:rPr>
      </w:pPr>
    </w:p>
    <w:p w:rsidR="00DA237F" w:rsidRDefault="00C04742" w:rsidP="00DA237F">
      <w:pPr>
        <w:jc w:val="center"/>
      </w:pPr>
      <w:r>
        <w:t>Délegyháza,2024.05.28.</w:t>
      </w:r>
    </w:p>
    <w:p w:rsidR="00DA237F" w:rsidRDefault="00DA237F" w:rsidP="00DA237F">
      <w:pPr>
        <w:jc w:val="center"/>
      </w:pPr>
    </w:p>
    <w:p w:rsidR="00DA237F" w:rsidRDefault="00DA237F" w:rsidP="00DA237F">
      <w:pPr>
        <w:jc w:val="center"/>
      </w:pPr>
    </w:p>
    <w:p w:rsidR="00C04742" w:rsidRDefault="00C04742" w:rsidP="00DA237F">
      <w:pPr>
        <w:jc w:val="center"/>
      </w:pPr>
    </w:p>
    <w:p w:rsidR="00DA237F" w:rsidRDefault="00DA237F" w:rsidP="00DA237F">
      <w:pPr>
        <w:pStyle w:val="Cmsor1"/>
      </w:pPr>
      <w:r>
        <w:lastRenderedPageBreak/>
        <w:t>ÉRTÉKELÉSI SZAKVÉLEMÉNY</w:t>
      </w:r>
    </w:p>
    <w:p w:rsidR="00DA237F" w:rsidRDefault="00DA237F" w:rsidP="00DA237F">
      <w:pPr>
        <w:pStyle w:val="Cmsor1"/>
      </w:pPr>
    </w:p>
    <w:p w:rsidR="00DA237F" w:rsidRDefault="00DA237F" w:rsidP="00DA237F">
      <w:pPr>
        <w:pStyle w:val="Cmsor2"/>
        <w:rPr>
          <w:szCs w:val="32"/>
        </w:rPr>
      </w:pPr>
      <w:r>
        <w:rPr>
          <w:szCs w:val="32"/>
        </w:rPr>
        <w:t>ALAPADATOK:</w:t>
      </w:r>
    </w:p>
    <w:p w:rsidR="00DA237F" w:rsidRDefault="00DA237F" w:rsidP="00C04742">
      <w:r>
        <w:t xml:space="preserve">Az ingatlan </w:t>
      </w:r>
      <w:r w:rsidR="00C04742">
        <w:t>Kocsis Imre 1/2 és Molnár Béláné 1/2 arányú tulajdona.</w:t>
      </w:r>
    </w:p>
    <w:p w:rsidR="00C04742" w:rsidRDefault="00C04742" w:rsidP="00C04742">
      <w:r>
        <w:t xml:space="preserve">Az ingatlant az OTP Bank </w:t>
      </w:r>
      <w:proofErr w:type="spellStart"/>
      <w:r>
        <w:t>Nyrt</w:t>
      </w:r>
      <w:proofErr w:type="gramStart"/>
      <w:r>
        <w:t>.önálló</w:t>
      </w:r>
      <w:proofErr w:type="spellEnd"/>
      <w:proofErr w:type="gramEnd"/>
      <w:r>
        <w:t xml:space="preserve"> zálogjoga terheli III/28 sorszám alatt ,54405 CHF összeg és járulékai erejéig.</w:t>
      </w:r>
    </w:p>
    <w:p w:rsidR="00DA237F" w:rsidRDefault="00DA237F" w:rsidP="00DA237F"/>
    <w:p w:rsidR="00DA237F" w:rsidRDefault="00DA237F" w:rsidP="00DA237F">
      <w:pPr>
        <w:pStyle w:val="Cmsor2"/>
        <w:rPr>
          <w:szCs w:val="32"/>
        </w:rPr>
      </w:pPr>
      <w:r>
        <w:rPr>
          <w:szCs w:val="32"/>
        </w:rPr>
        <w:t>AZ ÉRTÉKELÉSHEZ FELHASZNÁLT INFORMÁCIÓK:</w:t>
      </w:r>
    </w:p>
    <w:p w:rsidR="00DA237F" w:rsidRDefault="00DA237F" w:rsidP="00DA237F">
      <w:r>
        <w:t>Az értékbecslés során internetes forrásokból beszerzett, a helyszínen összegyűjtött, valamint az ingatlanpiac e területén működő ingatlan közvetítő irodák ajánlataiból gyűjtött adatok. A tulajdoni lapot a megbízó bocsátotta rendelkezésemre</w:t>
      </w:r>
      <w:proofErr w:type="gramStart"/>
      <w:r>
        <w:t>,aki</w:t>
      </w:r>
      <w:proofErr w:type="gramEnd"/>
      <w:r>
        <w:t xml:space="preserve"> kezeskedi a tulajdoni lapon szereplő információk valódiságáról és érvényességéről. A térképszelvényt a </w:t>
      </w:r>
      <w:proofErr w:type="spellStart"/>
      <w:r>
        <w:t>Takarnet</w:t>
      </w:r>
      <w:proofErr w:type="spellEnd"/>
      <w:r>
        <w:t xml:space="preserve">. rendszerből töltöttem </w:t>
      </w:r>
      <w:proofErr w:type="gramStart"/>
      <w:r>
        <w:t>le .</w:t>
      </w:r>
      <w:proofErr w:type="gramEnd"/>
    </w:p>
    <w:p w:rsidR="00DA237F" w:rsidRDefault="00DA237F" w:rsidP="00DA237F"/>
    <w:p w:rsidR="00DA237F" w:rsidRDefault="00DA237F" w:rsidP="00DA237F">
      <w:pPr>
        <w:pStyle w:val="Cmsor2"/>
        <w:rPr>
          <w:szCs w:val="32"/>
        </w:rPr>
      </w:pPr>
      <w:r>
        <w:rPr>
          <w:szCs w:val="32"/>
        </w:rPr>
        <w:t>ÉRTÉKELÉSRE VONATKOZÓ TANUSÍTVÁNY:</w:t>
      </w:r>
    </w:p>
    <w:p w:rsidR="00DA237F" w:rsidRDefault="00DA237F" w:rsidP="00DA237F">
      <w:r>
        <w:t xml:space="preserve">Az értékbecslési szakvélemény, csak teljes egészében értelmezhető, abból egyes megállapításokat vagy részleteket kiragadni, és önmagukban felhasználni nem szabad. Az értékelés megállapított értéke és alulírott készítőjének díjazása között nincsen semminemű kapcsolat. </w:t>
      </w:r>
    </w:p>
    <w:p w:rsidR="00DA237F" w:rsidRDefault="00DA237F" w:rsidP="00DA237F">
      <w:r>
        <w:t>Jelen értékelő jelentésben szereplő ténybeli megállapítások, amelyeken az értékelő jelentésben szereplőelemzések, vélemények és következtetések alapulnak, igazak és valósak. Értékelőn kívül más nem vett részt az értékelésben. Az értékelésben nem vállal Értékelő felelősséget olyan később jelentkező gazdasági és fizikai tényezőkért, amelyek befolyásolhatják a megadott értéket.</w:t>
      </w:r>
    </w:p>
    <w:p w:rsidR="00DA237F" w:rsidRDefault="00DA237F" w:rsidP="00DA237F"/>
    <w:p w:rsidR="00DA237F" w:rsidRDefault="00DA237F" w:rsidP="00DA237F"/>
    <w:p w:rsidR="00DA237F" w:rsidRDefault="00DA237F" w:rsidP="00DA237F">
      <w:pPr>
        <w:pStyle w:val="Cmsor1"/>
        <w:rPr>
          <w:szCs w:val="36"/>
        </w:rPr>
      </w:pPr>
      <w:r>
        <w:rPr>
          <w:szCs w:val="36"/>
        </w:rPr>
        <w:t xml:space="preserve">AZ INGATLAN </w:t>
      </w:r>
      <w:r>
        <w:t>ELHELYEZKEDÉSE, BEMUTATÁSA</w:t>
      </w:r>
      <w:r>
        <w:rPr>
          <w:szCs w:val="36"/>
        </w:rPr>
        <w:t>:</w:t>
      </w:r>
    </w:p>
    <w:p w:rsidR="00DA237F" w:rsidRDefault="00DA237F" w:rsidP="00DA237F"/>
    <w:p w:rsidR="00DA237F" w:rsidRDefault="00DA237F" w:rsidP="00DA237F">
      <w:r>
        <w:t>Az ingatlan Délegyhá</w:t>
      </w:r>
      <w:r w:rsidR="00DC57D0">
        <w:t xml:space="preserve">za belterületén, falusias lakókörnyezetben </w:t>
      </w:r>
      <w:r>
        <w:t>helyezkedik el.</w:t>
      </w:r>
      <w:r w:rsidR="00DC57D0">
        <w:t xml:space="preserve"> A vizsgált ingatlan jellege 851</w:t>
      </w:r>
      <w:r>
        <w:t xml:space="preserve"> nm alapterületű belterület</w:t>
      </w:r>
      <w:r w:rsidR="00DC57D0">
        <w:t xml:space="preserve">i telek a rajta </w:t>
      </w:r>
      <w:proofErr w:type="gramStart"/>
      <w:r w:rsidR="00DC57D0">
        <w:t>elhelyezkedő  földszint</w:t>
      </w:r>
      <w:proofErr w:type="gramEnd"/>
      <w:r w:rsidR="00DC57D0">
        <w:t xml:space="preserve">+tetőtér beépítéses </w:t>
      </w:r>
      <w:r>
        <w:t xml:space="preserve"> </w:t>
      </w:r>
      <w:r w:rsidR="00DC57D0">
        <w:t>156,67 nm lakóházzal</w:t>
      </w:r>
      <w:r>
        <w:t xml:space="preserve">. A felépítmény </w:t>
      </w:r>
      <w:r w:rsidR="00DC57D0">
        <w:t>2 külön lakóegységet</w:t>
      </w:r>
      <w:r w:rsidR="006201C6">
        <w:t xml:space="preserve"> tartalmaz. A </w:t>
      </w:r>
      <w:proofErr w:type="gramStart"/>
      <w:r w:rsidR="006201C6">
        <w:t>földszinte</w:t>
      </w:r>
      <w:r w:rsidR="00DC57D0">
        <w:t>n  4</w:t>
      </w:r>
      <w:proofErr w:type="gramEnd"/>
      <w:r w:rsidR="00DC57D0">
        <w:t xml:space="preserve"> lakószoba </w:t>
      </w:r>
      <w:r>
        <w:t>találhat</w:t>
      </w:r>
      <w:r w:rsidR="006201C6">
        <w:t xml:space="preserve">ó a hozzá kapcsolódó konyha-étkező,kamra,tároló ,fürdőszoba </w:t>
      </w:r>
      <w:r w:rsidR="00DC57D0">
        <w:t>helyiségekkel</w:t>
      </w:r>
      <w:r w:rsidR="006201C6">
        <w:t>,</w:t>
      </w:r>
      <w:r>
        <w:t>a tetőtérben</w:t>
      </w:r>
      <w:r w:rsidR="006201C6">
        <w:t xml:space="preserve"> amerikai ko</w:t>
      </w:r>
      <w:r w:rsidR="00DC57D0">
        <w:t xml:space="preserve">nyhás nappali,2 hálószoba zuhanyzós fürdőszoba elosztású </w:t>
      </w:r>
      <w:r>
        <w:t xml:space="preserve"> lakrész került  kialakításra. </w:t>
      </w:r>
    </w:p>
    <w:p w:rsidR="00DA237F" w:rsidRDefault="006201C6" w:rsidP="00DA237F">
      <w:r>
        <w:t>Az épület az 1988-ba</w:t>
      </w:r>
      <w:r w:rsidR="00DA237F">
        <w:t>n  épült  tégla szerkezetű,nyereg  tetős,</w:t>
      </w:r>
      <w:proofErr w:type="gramStart"/>
      <w:r w:rsidR="00DA237F">
        <w:t>cserép fedésű</w:t>
      </w:r>
      <w:proofErr w:type="gramEnd"/>
      <w:r w:rsidR="00DA237F">
        <w:t xml:space="preserve"> kivitelezéssel készü</w:t>
      </w:r>
      <w:r>
        <w:t>lt .</w:t>
      </w:r>
      <w:r w:rsidR="00F75634">
        <w:t>A tető fa gerendázata korhadt a csapadékvíz elvezetés szabálytalanul van megoldva.</w:t>
      </w:r>
      <w:r>
        <w:t xml:space="preserve"> A nyílászárók műanyag </w:t>
      </w:r>
      <w:proofErr w:type="gramStart"/>
      <w:r>
        <w:t>szerkezetűek</w:t>
      </w:r>
      <w:r w:rsidR="00DA237F">
        <w:t xml:space="preserve"> ,</w:t>
      </w:r>
      <w:r>
        <w:t>szakszerűtlen</w:t>
      </w:r>
      <w:proofErr w:type="gramEnd"/>
      <w:r>
        <w:t xml:space="preserve"> beépítéssel kivitelezettek 2 ablak van csak redőnnyel felszerelve</w:t>
      </w:r>
      <w:r w:rsidR="00F75634">
        <w:t>.</w:t>
      </w:r>
      <w:r w:rsidR="00DA237F">
        <w:t xml:space="preserve"> Az épület korszerűtlen , felújításra</w:t>
      </w:r>
      <w:r>
        <w:t xml:space="preserve"> korszerűsítésre</w:t>
      </w:r>
      <w:r w:rsidR="00DA237F">
        <w:t xml:space="preserve"> szorul.</w:t>
      </w:r>
      <w:r>
        <w:t xml:space="preserve"> A ház az eredeti tervdokumentációtól eltérő kivitelezéssel és szoba elosztással épült</w:t>
      </w:r>
      <w:r w:rsidR="00DA237F">
        <w:t xml:space="preserve"> </w:t>
      </w:r>
      <w:r>
        <w:t>.</w:t>
      </w:r>
      <w:proofErr w:type="gramStart"/>
      <w:r>
        <w:t>A</w:t>
      </w:r>
      <w:proofErr w:type="gramEnd"/>
      <w:r>
        <w:t xml:space="preserve"> ház homlokzata </w:t>
      </w:r>
      <w:r w:rsidR="00F75634">
        <w:t xml:space="preserve">hungarocellel burkolt ,de szakszerűtlenül van kivitelezve ,hiányos vakolattal ,külső homlokzati színezés nélkül. </w:t>
      </w:r>
      <w:r w:rsidR="00DA237F">
        <w:t>A fűtés</w:t>
      </w:r>
      <w:r>
        <w:t xml:space="preserve"> a földszinti lakrészben gáz cirkóval</w:t>
      </w:r>
      <w:proofErr w:type="gramStart"/>
      <w:r>
        <w:t>,a</w:t>
      </w:r>
      <w:proofErr w:type="gramEnd"/>
      <w:r>
        <w:t xml:space="preserve"> tetőtérben kandallóval </w:t>
      </w:r>
      <w:r w:rsidR="00DA237F">
        <w:t xml:space="preserve"> megoldott , </w:t>
      </w:r>
      <w:r>
        <w:t>kie</w:t>
      </w:r>
      <w:r w:rsidR="00F75634">
        <w:t>gészítő fűtés klímával lehetséges</w:t>
      </w:r>
      <w:r>
        <w:t>.</w:t>
      </w:r>
      <w:r w:rsidR="00F75634">
        <w:t xml:space="preserve"> </w:t>
      </w:r>
      <w:r>
        <w:t>V</w:t>
      </w:r>
      <w:r w:rsidR="00DA237F">
        <w:t>ezetékes víz vételezésére lehetőség adott</w:t>
      </w:r>
      <w:proofErr w:type="gramStart"/>
      <w:r w:rsidR="00DA237F">
        <w:t>,csatornázott</w:t>
      </w:r>
      <w:proofErr w:type="gramEnd"/>
      <w:r w:rsidR="00F75634">
        <w:t xml:space="preserve"> </w:t>
      </w:r>
      <w:r w:rsidR="00DA237F">
        <w:t>,vezetékes árammal ellátott</w:t>
      </w:r>
      <w:r w:rsidR="00F75634">
        <w:t xml:space="preserve"> ,az udvaron 1 db gyűrűs kút található</w:t>
      </w:r>
      <w:r w:rsidR="00DA237F">
        <w:t xml:space="preserve">. </w:t>
      </w:r>
      <w:r w:rsidR="00F75634">
        <w:t xml:space="preserve">Telepített növényzet az udvarban nem található. </w:t>
      </w:r>
      <w:r w:rsidR="00DA237F">
        <w:t>A területen elhelyezkedő ingatlanok jellemzően csa</w:t>
      </w:r>
      <w:r>
        <w:t>ládi házas ingatlanok</w:t>
      </w:r>
      <w:r w:rsidR="00DA237F">
        <w:t>, valamint közszolgálati, ill. kereskedelmi létesítmények.</w:t>
      </w:r>
      <w:r>
        <w:t xml:space="preserve"> </w:t>
      </w:r>
      <w:r w:rsidR="00DA237F">
        <w:t xml:space="preserve">A terület fekvése sík. Az ingatlanon bontásra szoruló felépítmény nem </w:t>
      </w:r>
      <w:proofErr w:type="spellStart"/>
      <w:r w:rsidR="00DA237F">
        <w:t>található.</w:t>
      </w:r>
      <w:r w:rsidR="00F75634">
        <w:t>A</w:t>
      </w:r>
      <w:proofErr w:type="spellEnd"/>
      <w:r w:rsidR="00F75634">
        <w:t xml:space="preserve"> házhoz pince ,</w:t>
      </w:r>
      <w:proofErr w:type="gramStart"/>
      <w:r w:rsidR="00F75634">
        <w:t>mellék épület</w:t>
      </w:r>
      <w:proofErr w:type="gramEnd"/>
      <w:r w:rsidR="00F75634">
        <w:t xml:space="preserve"> nem tartozik.</w:t>
      </w:r>
    </w:p>
    <w:p w:rsidR="00DA237F" w:rsidRDefault="00DA237F" w:rsidP="00DA237F">
      <w:pPr>
        <w:pStyle w:val="Cmsor2"/>
      </w:pPr>
      <w:r>
        <w:t>Megközelíthetősége:</w:t>
      </w:r>
    </w:p>
    <w:p w:rsidR="00DA237F" w:rsidRDefault="00DA237F" w:rsidP="00DA237F">
      <w:r>
        <w:t>Budapestről távolsági busszal, ill. vasúttal (</w:t>
      </w:r>
      <w:r w:rsidR="00E85B4D">
        <w:t>jelenleg nem üzemel</w:t>
      </w:r>
      <w:proofErr w:type="gramStart"/>
      <w:r w:rsidR="00E85B4D">
        <w:t>,</w:t>
      </w:r>
      <w:r>
        <w:t>megállóhely</w:t>
      </w:r>
      <w:proofErr w:type="gramEnd"/>
      <w:r>
        <w:t xml:space="preserve"> kb.</w:t>
      </w:r>
      <w:r w:rsidR="00E85B4D">
        <w:t>1</w:t>
      </w:r>
      <w:r>
        <w:t>2</w:t>
      </w:r>
      <w:r w:rsidR="00E85B4D">
        <w:t xml:space="preserve">00 m.), </w:t>
      </w:r>
      <w:r>
        <w:t xml:space="preserve"> aszfaltozott útvonalon. </w:t>
      </w:r>
    </w:p>
    <w:p w:rsidR="00DA237F" w:rsidRDefault="00DA237F" w:rsidP="00DA237F">
      <w:pPr>
        <w:pStyle w:val="Cmsor2"/>
        <w:rPr>
          <w:szCs w:val="32"/>
        </w:rPr>
      </w:pPr>
      <w:r>
        <w:rPr>
          <w:szCs w:val="32"/>
        </w:rPr>
        <w:t>Közművek:</w:t>
      </w:r>
    </w:p>
    <w:p w:rsidR="00DA237F" w:rsidRDefault="00DA237F" w:rsidP="00DA237F">
      <w:r>
        <w:t>Az ingatlan víz-gáz- csatorna-villany közművel rendelkezik.</w:t>
      </w:r>
    </w:p>
    <w:p w:rsidR="00DA237F" w:rsidRDefault="00DA237F" w:rsidP="00DA237F">
      <w:pPr>
        <w:pStyle w:val="Cmsor2"/>
        <w:rPr>
          <w:szCs w:val="32"/>
        </w:rPr>
      </w:pPr>
      <w:r>
        <w:rPr>
          <w:szCs w:val="32"/>
        </w:rPr>
        <w:lastRenderedPageBreak/>
        <w:t>Hasznosíthatóság:</w:t>
      </w:r>
    </w:p>
    <w:p w:rsidR="00DA237F" w:rsidRDefault="00DA237F" w:rsidP="00DA237F">
      <w:r>
        <w:t xml:space="preserve">Az érvényben lévő szabályozási terv szerint a terület belterületi besorolású. </w:t>
      </w:r>
    </w:p>
    <w:p w:rsidR="00DA237F" w:rsidRDefault="00DA237F" w:rsidP="00DA237F">
      <w:pPr>
        <w:pStyle w:val="Cmsor2"/>
        <w:rPr>
          <w:szCs w:val="32"/>
        </w:rPr>
      </w:pPr>
      <w:r>
        <w:rPr>
          <w:szCs w:val="32"/>
        </w:rPr>
        <w:t>Telek területe:</w:t>
      </w:r>
    </w:p>
    <w:p w:rsidR="00DA237F" w:rsidRDefault="00DA237F" w:rsidP="00DA237F">
      <w:r>
        <w:t>Az elhelyezkedéséből és a kiépített aszfaltút adotts</w:t>
      </w:r>
      <w:r w:rsidR="00E85B4D">
        <w:t>ágaiból kifolyólag szabályos alakú</w:t>
      </w:r>
      <w:r>
        <w:t>.</w:t>
      </w:r>
    </w:p>
    <w:p w:rsidR="00DA237F" w:rsidRDefault="00DA237F" w:rsidP="00DA237F">
      <w:pPr>
        <w:pStyle w:val="Cmsor1"/>
      </w:pPr>
      <w:r>
        <w:t xml:space="preserve">AZ  INGATLAN  ÉRTÉKESÍTHETŐSÉGE  ÁRNÖVELŐ  </w:t>
      </w:r>
      <w:proofErr w:type="gramStart"/>
      <w:r>
        <w:t>ÉS</w:t>
      </w:r>
      <w:proofErr w:type="gramEnd"/>
      <w:r>
        <w:t xml:space="preserve"> CSÖKKENTŐ  TÉNYEZŐK:</w:t>
      </w:r>
    </w:p>
    <w:p w:rsidR="00DA237F" w:rsidRDefault="00DA237F" w:rsidP="00DA237F"/>
    <w:p w:rsidR="00E85B4D" w:rsidRDefault="00DA237F" w:rsidP="00E85B4D">
      <w:r>
        <w:t xml:space="preserve">Az ingatlan adottságaiból következtetve az értékesíthetőség egyedi igényekre korlátozódik, ugyan a környéken erős ingatlan vásárlási igény mutatkozik, de ezek az ingatlanok </w:t>
      </w:r>
      <w:r w:rsidR="00E85B4D">
        <w:t xml:space="preserve">modern </w:t>
      </w:r>
      <w:r>
        <w:t>lakóingatlanok és</w:t>
      </w:r>
      <w:r w:rsidR="00E85B4D">
        <w:t xml:space="preserve"> hasznosításuk nem többlakásos kialakítású</w:t>
      </w:r>
      <w:r>
        <w:t>. Az in</w:t>
      </w:r>
      <w:r w:rsidR="00E85B4D">
        <w:t>gatlant avult á</w:t>
      </w:r>
      <w:r w:rsidR="00203F7D">
        <w:t>llapota (-3</w:t>
      </w:r>
      <w:r>
        <w:t xml:space="preserve">5 %) csökkentik az árat. </w:t>
      </w:r>
      <w:r w:rsidR="00E85B4D">
        <w:t xml:space="preserve">További árcsökkentő tényező az udvar </w:t>
      </w:r>
      <w:proofErr w:type="gramStart"/>
      <w:r w:rsidR="00E85B4D">
        <w:t>állapota</w:t>
      </w:r>
      <w:r>
        <w:t>(</w:t>
      </w:r>
      <w:proofErr w:type="gramEnd"/>
      <w:r>
        <w:t>-10%).Ezzel szemben pozitív irányban mozdítja el az árat</w:t>
      </w:r>
      <w:r w:rsidR="00E85B4D" w:rsidRPr="00E85B4D">
        <w:t xml:space="preserve"> </w:t>
      </w:r>
      <w:r w:rsidR="00E85B4D">
        <w:t>az aszfaltos út és a jó megközelíthetőség. (+5 %)</w:t>
      </w:r>
    </w:p>
    <w:p w:rsidR="00DA237F" w:rsidRDefault="00DA237F" w:rsidP="00DA237F">
      <w:pPr>
        <w:pStyle w:val="Cmsor2"/>
      </w:pPr>
      <w:r>
        <w:t>Összehasonlító adatok:</w:t>
      </w:r>
    </w:p>
    <w:p w:rsidR="00DA237F" w:rsidRDefault="00DA237F" w:rsidP="00DA237F">
      <w:pPr>
        <w:rPr>
          <w:sz w:val="36"/>
          <w:szCs w:val="36"/>
          <w:u w:val="single"/>
        </w:rPr>
      </w:pPr>
    </w:p>
    <w:tbl>
      <w:tblPr>
        <w:tblStyle w:val="Rcsostblzat"/>
        <w:tblW w:w="5000" w:type="pct"/>
        <w:tblLook w:val="04A0"/>
      </w:tblPr>
      <w:tblGrid>
        <w:gridCol w:w="2155"/>
        <w:gridCol w:w="2036"/>
        <w:gridCol w:w="1699"/>
        <w:gridCol w:w="1699"/>
        <w:gridCol w:w="1699"/>
      </w:tblGrid>
      <w:tr w:rsidR="00DA237F" w:rsidTr="00DA237F">
        <w:tc>
          <w:tcPr>
            <w:tcW w:w="1000" w:type="pct"/>
            <w:tcBorders>
              <w:top w:val="single" w:sz="4" w:space="0" w:color="auto"/>
              <w:left w:val="single" w:sz="4" w:space="0" w:color="auto"/>
              <w:bottom w:val="single" w:sz="4" w:space="0" w:color="auto"/>
              <w:right w:val="single" w:sz="4" w:space="0" w:color="auto"/>
            </w:tcBorders>
            <w:hideMark/>
          </w:tcPr>
          <w:p w:rsidR="00DA237F" w:rsidRDefault="00DA237F">
            <w:pPr>
              <w:ind w:left="0" w:right="0"/>
              <w:rPr>
                <w:rFonts w:asciiTheme="minorHAnsi" w:hAnsiTheme="minorHAnsi"/>
                <w:sz w:val="24"/>
              </w:rPr>
            </w:pPr>
            <w:r>
              <w:rPr>
                <w:sz w:val="24"/>
              </w:rPr>
              <w:t>Délegyháza</w:t>
            </w:r>
            <w:proofErr w:type="gramStart"/>
            <w:r>
              <w:rPr>
                <w:sz w:val="24"/>
              </w:rPr>
              <w:t>,</w:t>
            </w:r>
            <w:r w:rsidR="00203F7D">
              <w:rPr>
                <w:sz w:val="24"/>
              </w:rPr>
              <w:t>lakóház</w:t>
            </w:r>
            <w:proofErr w:type="gramEnd"/>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Felújított</w:t>
            </w:r>
            <w:proofErr w:type="gramStart"/>
            <w:r>
              <w:rPr>
                <w:sz w:val="24"/>
              </w:rPr>
              <w:t>,rendezett</w:t>
            </w:r>
            <w:proofErr w:type="gramEnd"/>
            <w:r>
              <w:rPr>
                <w:sz w:val="24"/>
              </w:rPr>
              <w:t xml:space="preserve"> állapotú</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90</w:t>
            </w:r>
            <w:r w:rsidR="00DA237F">
              <w:rPr>
                <w:sz w:val="24"/>
              </w:rPr>
              <w:t xml:space="preserve"> nm</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48.000.000</w:t>
            </w:r>
            <w:r w:rsidR="00DA237F">
              <w:rPr>
                <w:sz w:val="24"/>
              </w:rPr>
              <w:t xml:space="preserve"> Ft</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533 333</w:t>
            </w:r>
            <w:r w:rsidR="00DA237F">
              <w:rPr>
                <w:sz w:val="24"/>
              </w:rPr>
              <w:t xml:space="preserve"> Ft/nm</w:t>
            </w:r>
          </w:p>
        </w:tc>
      </w:tr>
      <w:tr w:rsidR="00DA237F" w:rsidTr="00DA237F">
        <w:tc>
          <w:tcPr>
            <w:tcW w:w="1000" w:type="pct"/>
            <w:tcBorders>
              <w:top w:val="single" w:sz="4" w:space="0" w:color="auto"/>
              <w:left w:val="single" w:sz="4" w:space="0" w:color="auto"/>
              <w:bottom w:val="single" w:sz="4" w:space="0" w:color="auto"/>
              <w:right w:val="single" w:sz="4" w:space="0" w:color="auto"/>
            </w:tcBorders>
            <w:hideMark/>
          </w:tcPr>
          <w:p w:rsidR="00DA237F" w:rsidRDefault="00DA237F" w:rsidP="00203F7D">
            <w:pPr>
              <w:ind w:left="0" w:right="0"/>
              <w:rPr>
                <w:rFonts w:asciiTheme="minorHAnsi" w:hAnsiTheme="minorHAnsi"/>
                <w:sz w:val="24"/>
              </w:rPr>
            </w:pPr>
            <w:r>
              <w:rPr>
                <w:sz w:val="24"/>
              </w:rPr>
              <w:t xml:space="preserve"> </w:t>
            </w:r>
            <w:r w:rsidR="00203F7D">
              <w:rPr>
                <w:sz w:val="24"/>
              </w:rPr>
              <w:t>Délegyháza családi ház</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DA237F">
            <w:pPr>
              <w:ind w:left="0" w:right="0"/>
              <w:rPr>
                <w:rFonts w:asciiTheme="minorHAnsi" w:hAnsiTheme="minorHAnsi"/>
                <w:sz w:val="24"/>
              </w:rPr>
            </w:pPr>
            <w:r>
              <w:rPr>
                <w:sz w:val="24"/>
              </w:rPr>
              <w:t>Felújít</w:t>
            </w:r>
            <w:r w:rsidR="00203F7D">
              <w:rPr>
                <w:sz w:val="24"/>
              </w:rPr>
              <w:t>andó</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156</w:t>
            </w:r>
            <w:r w:rsidR="00DA237F">
              <w:rPr>
                <w:sz w:val="24"/>
              </w:rPr>
              <w:t xml:space="preserve"> nm</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53</w:t>
            </w:r>
            <w:r w:rsidR="00DA237F">
              <w:rPr>
                <w:sz w:val="24"/>
              </w:rPr>
              <w:t>.000.000 Ft</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339 743</w:t>
            </w:r>
            <w:r w:rsidR="00DA237F">
              <w:rPr>
                <w:sz w:val="24"/>
              </w:rPr>
              <w:t xml:space="preserve"> Ft/nm</w:t>
            </w:r>
          </w:p>
        </w:tc>
      </w:tr>
      <w:tr w:rsidR="00DA237F" w:rsidTr="00DA237F">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Délegyháza</w:t>
            </w:r>
            <w:proofErr w:type="gramStart"/>
            <w:r>
              <w:rPr>
                <w:sz w:val="24"/>
              </w:rPr>
              <w:t>,családi</w:t>
            </w:r>
            <w:proofErr w:type="gramEnd"/>
            <w:r>
              <w:rPr>
                <w:sz w:val="24"/>
              </w:rPr>
              <w:t xml:space="preserve"> ház Petőfi u.</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Felújított</w:t>
            </w:r>
            <w:proofErr w:type="gramStart"/>
            <w:r>
              <w:rPr>
                <w:sz w:val="24"/>
              </w:rPr>
              <w:t>,rendezett</w:t>
            </w:r>
            <w:proofErr w:type="gramEnd"/>
            <w:r>
              <w:rPr>
                <w:sz w:val="24"/>
              </w:rPr>
              <w:t xml:space="preserve"> állapotú</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 xml:space="preserve"> 216</w:t>
            </w:r>
            <w:r w:rsidR="00DA237F">
              <w:rPr>
                <w:sz w:val="24"/>
              </w:rPr>
              <w:t>nm</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119.000.000</w:t>
            </w:r>
            <w:r w:rsidR="00DA237F">
              <w:rPr>
                <w:sz w:val="24"/>
              </w:rPr>
              <w:t>Ft</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 xml:space="preserve">550 925 </w:t>
            </w:r>
            <w:r w:rsidR="00DA237F">
              <w:rPr>
                <w:sz w:val="24"/>
              </w:rPr>
              <w:t>Ft/nm</w:t>
            </w:r>
          </w:p>
        </w:tc>
      </w:tr>
      <w:tr w:rsidR="00DA237F" w:rsidTr="00DA237F">
        <w:tc>
          <w:tcPr>
            <w:tcW w:w="1000" w:type="pct"/>
            <w:tcBorders>
              <w:top w:val="single" w:sz="4" w:space="0" w:color="auto"/>
              <w:left w:val="single" w:sz="4" w:space="0" w:color="auto"/>
              <w:bottom w:val="single" w:sz="4" w:space="0" w:color="auto"/>
              <w:right w:val="single" w:sz="4" w:space="0" w:color="auto"/>
            </w:tcBorders>
          </w:tcPr>
          <w:p w:rsidR="00DA237F" w:rsidRDefault="00DA237F">
            <w:pPr>
              <w:ind w:left="0" w:right="0"/>
              <w:rPr>
                <w:rFonts w:asciiTheme="minorHAnsi" w:hAnsiTheme="minorHAnsi"/>
                <w:sz w:val="24"/>
              </w:rPr>
            </w:pPr>
          </w:p>
        </w:tc>
        <w:tc>
          <w:tcPr>
            <w:tcW w:w="1000" w:type="pct"/>
            <w:tcBorders>
              <w:top w:val="single" w:sz="4" w:space="0" w:color="auto"/>
              <w:left w:val="single" w:sz="4" w:space="0" w:color="auto"/>
              <w:bottom w:val="single" w:sz="4" w:space="0" w:color="auto"/>
              <w:right w:val="single" w:sz="4" w:space="0" w:color="auto"/>
            </w:tcBorders>
          </w:tcPr>
          <w:p w:rsidR="00DA237F" w:rsidRDefault="00DA237F">
            <w:pPr>
              <w:ind w:left="0" w:right="0"/>
              <w:rPr>
                <w:rFonts w:asciiTheme="minorHAnsi" w:hAnsiTheme="minorHAnsi"/>
                <w:sz w:val="24"/>
              </w:rPr>
            </w:pPr>
          </w:p>
        </w:tc>
        <w:tc>
          <w:tcPr>
            <w:tcW w:w="1000" w:type="pct"/>
            <w:tcBorders>
              <w:top w:val="single" w:sz="4" w:space="0" w:color="auto"/>
              <w:left w:val="single" w:sz="4" w:space="0" w:color="auto"/>
              <w:bottom w:val="single" w:sz="4" w:space="0" w:color="auto"/>
              <w:right w:val="single" w:sz="4" w:space="0" w:color="auto"/>
            </w:tcBorders>
          </w:tcPr>
          <w:p w:rsidR="00DA237F" w:rsidRDefault="00DA237F">
            <w:pPr>
              <w:ind w:left="0" w:right="0"/>
              <w:rPr>
                <w:rFonts w:asciiTheme="minorHAnsi" w:hAnsiTheme="minorHAnsi"/>
                <w:sz w:val="24"/>
              </w:rPr>
            </w:pPr>
          </w:p>
        </w:tc>
        <w:tc>
          <w:tcPr>
            <w:tcW w:w="1000" w:type="pct"/>
            <w:tcBorders>
              <w:top w:val="single" w:sz="4" w:space="0" w:color="auto"/>
              <w:left w:val="single" w:sz="4" w:space="0" w:color="auto"/>
              <w:bottom w:val="single" w:sz="4" w:space="0" w:color="auto"/>
              <w:right w:val="single" w:sz="4" w:space="0" w:color="auto"/>
            </w:tcBorders>
            <w:hideMark/>
          </w:tcPr>
          <w:p w:rsidR="00DA237F" w:rsidRDefault="00DA237F">
            <w:pPr>
              <w:ind w:left="0" w:right="0"/>
              <w:rPr>
                <w:rFonts w:asciiTheme="minorHAnsi" w:hAnsiTheme="minorHAnsi"/>
                <w:sz w:val="24"/>
              </w:rPr>
            </w:pPr>
            <w:r>
              <w:rPr>
                <w:sz w:val="24"/>
              </w:rPr>
              <w:t>Területi átlagár:</w:t>
            </w:r>
          </w:p>
        </w:tc>
        <w:tc>
          <w:tcPr>
            <w:tcW w:w="1000" w:type="pct"/>
            <w:tcBorders>
              <w:top w:val="single" w:sz="4" w:space="0" w:color="auto"/>
              <w:left w:val="single" w:sz="4" w:space="0" w:color="auto"/>
              <w:bottom w:val="single" w:sz="4" w:space="0" w:color="auto"/>
              <w:right w:val="single" w:sz="4" w:space="0" w:color="auto"/>
            </w:tcBorders>
            <w:hideMark/>
          </w:tcPr>
          <w:p w:rsidR="00DA237F" w:rsidRDefault="00203F7D">
            <w:pPr>
              <w:ind w:left="0" w:right="0"/>
              <w:rPr>
                <w:rFonts w:asciiTheme="minorHAnsi" w:hAnsiTheme="minorHAnsi"/>
                <w:sz w:val="24"/>
              </w:rPr>
            </w:pPr>
            <w:r>
              <w:rPr>
                <w:sz w:val="24"/>
              </w:rPr>
              <w:t>474 667</w:t>
            </w:r>
            <w:r w:rsidR="00DA237F">
              <w:rPr>
                <w:sz w:val="24"/>
              </w:rPr>
              <w:t xml:space="preserve"> Ft/nm</w:t>
            </w:r>
          </w:p>
        </w:tc>
      </w:tr>
    </w:tbl>
    <w:p w:rsidR="00DA237F" w:rsidRDefault="00DA237F" w:rsidP="00DA237F">
      <w:pPr>
        <w:rPr>
          <w:sz w:val="24"/>
          <w:szCs w:val="24"/>
        </w:rPr>
      </w:pPr>
    </w:p>
    <w:p w:rsidR="00DA237F" w:rsidRDefault="00DA237F" w:rsidP="00DA237F">
      <w:pPr>
        <w:rPr>
          <w:sz w:val="24"/>
          <w:szCs w:val="24"/>
        </w:rPr>
      </w:pPr>
    </w:p>
    <w:p w:rsidR="00DA237F" w:rsidRDefault="00DA237F" w:rsidP="00DA237F">
      <w:pPr>
        <w:rPr>
          <w:sz w:val="24"/>
          <w:szCs w:val="24"/>
        </w:rPr>
      </w:pPr>
    </w:p>
    <w:p w:rsidR="00DA237F" w:rsidRDefault="00DA237F" w:rsidP="00DA237F">
      <w:pPr>
        <w:rPr>
          <w:sz w:val="24"/>
          <w:szCs w:val="24"/>
        </w:rPr>
      </w:pPr>
    </w:p>
    <w:p w:rsidR="00DA237F" w:rsidRDefault="00DA237F" w:rsidP="00DA237F">
      <w:pPr>
        <w:rPr>
          <w:sz w:val="24"/>
          <w:szCs w:val="24"/>
        </w:rPr>
      </w:pPr>
    </w:p>
    <w:p w:rsidR="00DA237F" w:rsidRDefault="00DA237F" w:rsidP="00DA237F">
      <w:pPr>
        <w:rPr>
          <w:sz w:val="24"/>
          <w:szCs w:val="24"/>
        </w:rPr>
      </w:pPr>
    </w:p>
    <w:p w:rsidR="00DA237F" w:rsidRDefault="00DA237F" w:rsidP="00DA237F">
      <w:pPr>
        <w:pStyle w:val="Cmsor1"/>
        <w:rPr>
          <w:szCs w:val="36"/>
        </w:rPr>
      </w:pPr>
      <w:r>
        <w:rPr>
          <w:szCs w:val="36"/>
        </w:rPr>
        <w:t>ÉRTÉK MEGHATÁROZÁS:</w:t>
      </w:r>
    </w:p>
    <w:p w:rsidR="00DA237F" w:rsidRDefault="00DA237F" w:rsidP="00DA237F"/>
    <w:p w:rsidR="00DA237F" w:rsidRDefault="00DA237F" w:rsidP="00DA237F">
      <w:r>
        <w:t>A vizsgált ingatlan értékmeghatározását piaci összehasonlító módszerrel végeztem el. A TEGOVOFA által képviselt nyitott irányzat értékelési elvei, magyarországi értékelési hagyományok és a gyakorlati tapasztalat alapján piaci összehasonlító értékelési alapon nyugvó forgalmi értékelés rendszerén alapul az értékmeghatározás.</w:t>
      </w:r>
    </w:p>
    <w:p w:rsidR="00DA237F" w:rsidRDefault="00DA237F" w:rsidP="00DA237F">
      <w:r>
        <w:t xml:space="preserve">Az értékképzés során számoltam az összehasonlító táblázatban kalkulált átlagárral, és az ezen értéket csökkentő és növelő tényezőkkel. Mivel a figyelembe vett összehasonlító árak kereskedelmi forgalomban résztvevő meghatározással fellelhetőek ezért ezeket az árakat irányárként számoltam. </w:t>
      </w:r>
    </w:p>
    <w:p w:rsidR="00DA237F" w:rsidRDefault="00DA237F" w:rsidP="00DA237F"/>
    <w:p w:rsidR="00DA237F" w:rsidRDefault="00DA237F" w:rsidP="00DA237F">
      <w:pPr>
        <w:pStyle w:val="Cmsor2"/>
        <w:rPr>
          <w:szCs w:val="36"/>
        </w:rPr>
      </w:pPr>
      <w:r>
        <w:rPr>
          <w:szCs w:val="36"/>
        </w:rPr>
        <w:t>FORGALMI ÉRTÉK ÖSSZEGEZVE:</w:t>
      </w:r>
    </w:p>
    <w:p w:rsidR="00DA237F" w:rsidRDefault="00DA237F" w:rsidP="00DA237F">
      <w:proofErr w:type="gramStart"/>
      <w:r>
        <w:t>Dél</w:t>
      </w:r>
      <w:r w:rsidR="00E85B4D">
        <w:t>egyháza ,Petőfi</w:t>
      </w:r>
      <w:proofErr w:type="gramEnd"/>
      <w:r w:rsidR="00E85B4D">
        <w:t xml:space="preserve"> u.48/B ingatlan:156 </w:t>
      </w:r>
      <w:proofErr w:type="spellStart"/>
      <w:r w:rsidR="00E85B4D">
        <w:t>nmx</w:t>
      </w:r>
      <w:proofErr w:type="spellEnd"/>
      <w:r w:rsidR="00E85B4D">
        <w:t xml:space="preserve"> </w:t>
      </w:r>
      <w:r w:rsidR="00203F7D">
        <w:t xml:space="preserve">474.667 </w:t>
      </w:r>
      <w:r w:rsidR="00E85B4D">
        <w:t>Ft/nm:</w:t>
      </w:r>
      <w:r w:rsidR="00806EF6">
        <w:t xml:space="preserve">74.048.052 </w:t>
      </w:r>
      <w:r>
        <w:t>Ft</w:t>
      </w:r>
    </w:p>
    <w:p w:rsidR="00DA237F" w:rsidRDefault="00DA237F" w:rsidP="00DA237F">
      <w:r>
        <w:t xml:space="preserve">                                                        </w:t>
      </w:r>
      <w:r w:rsidR="00203F7D">
        <w:t xml:space="preserve">        + értéknövelő tényező 5</w:t>
      </w:r>
      <w:r>
        <w:t xml:space="preserve">%: </w:t>
      </w:r>
      <w:r w:rsidR="00806EF6">
        <w:t>3.702.402 Ft</w:t>
      </w:r>
    </w:p>
    <w:p w:rsidR="00DA237F" w:rsidRDefault="00DA237F" w:rsidP="00DA237F">
      <w:pPr>
        <w:rPr>
          <w:u w:val="single"/>
        </w:rPr>
      </w:pPr>
      <w:r>
        <w:t xml:space="preserve">                                                    </w:t>
      </w:r>
      <w:r w:rsidR="00806EF6">
        <w:t xml:space="preserve">    </w:t>
      </w:r>
      <w:proofErr w:type="spellStart"/>
      <w:r w:rsidR="00806EF6">
        <w:t>-érték</w:t>
      </w:r>
      <w:proofErr w:type="spellEnd"/>
      <w:r w:rsidR="00806EF6">
        <w:t xml:space="preserve"> csökkentő tényező 4</w:t>
      </w:r>
      <w:r>
        <w:t xml:space="preserve">5%: </w:t>
      </w:r>
      <w:r w:rsidR="00806EF6">
        <w:t xml:space="preserve">33.321.623 </w:t>
      </w:r>
      <w:r>
        <w:rPr>
          <w:u w:val="single"/>
        </w:rPr>
        <w:t>Ft</w:t>
      </w:r>
    </w:p>
    <w:p w:rsidR="00DA237F" w:rsidRDefault="00DA237F" w:rsidP="00DA237F">
      <w:pPr>
        <w:rPr>
          <w:b/>
        </w:rPr>
      </w:pPr>
      <w:r>
        <w:t xml:space="preserve">                                                                                               </w:t>
      </w:r>
      <w:r w:rsidR="00E85B4D">
        <w:rPr>
          <w:b/>
        </w:rPr>
        <w:t>Összesen:</w:t>
      </w:r>
      <w:r w:rsidR="00806EF6">
        <w:rPr>
          <w:b/>
        </w:rPr>
        <w:t xml:space="preserve">44.428.831 </w:t>
      </w:r>
      <w:r>
        <w:rPr>
          <w:b/>
        </w:rPr>
        <w:t>Ft</w:t>
      </w:r>
    </w:p>
    <w:p w:rsidR="00DA237F" w:rsidRDefault="00DA237F" w:rsidP="00DA237F">
      <w:pPr>
        <w:jc w:val="right"/>
        <w:rPr>
          <w:b/>
        </w:rPr>
      </w:pPr>
      <w:r>
        <w:rPr>
          <w:b/>
        </w:rPr>
        <w:t xml:space="preserve">                                                                             </w:t>
      </w:r>
    </w:p>
    <w:p w:rsidR="00DA237F" w:rsidRDefault="00DA237F" w:rsidP="00DA237F">
      <w:pPr>
        <w:rPr>
          <w:sz w:val="36"/>
          <w:szCs w:val="36"/>
          <w:u w:val="single"/>
        </w:rPr>
      </w:pPr>
    </w:p>
    <w:p w:rsidR="00DA237F" w:rsidRDefault="00DA237F" w:rsidP="00DA237F">
      <w:pPr>
        <w:pStyle w:val="Cmsor2"/>
        <w:rPr>
          <w:szCs w:val="36"/>
        </w:rPr>
      </w:pPr>
    </w:p>
    <w:p w:rsidR="00DA237F" w:rsidRDefault="00DA237F" w:rsidP="00DA237F">
      <w:pPr>
        <w:pStyle w:val="Cmsor2"/>
        <w:rPr>
          <w:szCs w:val="36"/>
        </w:rPr>
      </w:pPr>
    </w:p>
    <w:p w:rsidR="00DA237F" w:rsidRDefault="00DA237F" w:rsidP="00DA237F">
      <w:pPr>
        <w:pStyle w:val="Cmsor2"/>
        <w:rPr>
          <w:szCs w:val="36"/>
        </w:rPr>
      </w:pPr>
    </w:p>
    <w:p w:rsidR="00DA237F" w:rsidRDefault="00DA237F" w:rsidP="00DA237F"/>
    <w:p w:rsidR="00DA237F" w:rsidRDefault="00DA237F" w:rsidP="00DA237F">
      <w:pPr>
        <w:pStyle w:val="Cmsor2"/>
        <w:rPr>
          <w:szCs w:val="36"/>
        </w:rPr>
      </w:pPr>
      <w:r>
        <w:rPr>
          <w:szCs w:val="36"/>
        </w:rPr>
        <w:t xml:space="preserve"> ZÁRADÉK:</w:t>
      </w:r>
    </w:p>
    <w:p w:rsidR="00DA237F" w:rsidRDefault="00DA237F" w:rsidP="00DA237F">
      <w:r>
        <w:t>Az értékmeghatározás piaci értékesítési alapon nyugvó, forgalmi értékelés módszerén alapult.</w:t>
      </w:r>
    </w:p>
    <w:p w:rsidR="00DA237F" w:rsidRDefault="00DA237F" w:rsidP="00DA237F">
      <w:r>
        <w:t>Véleményt jogi ügyekben értékelő nem nyilvánít. Az értékelő nem végzett az ingatlan jogi helyzetére vonatkozó vizsgálatokat, kizárólag az átvett adatszolgáltatásokra, ill. a megrendelő által rendelkezésre bocsátott dokumentumokra támaszkodott. Feltételezhető, hogy a tulajdonjog forgalom képes és nem terheli semmilyen jelzálogjog, vagy egyéb kötelezettség azon kívül, amely konkrétan megemlítésre kerül a szakvéleményben, illetve amelyek az ingatlan nyilvántartásba bejegyzésre kerültek. Az értékbecslés a határnaptó</w:t>
      </w:r>
      <w:r w:rsidR="00E85B4D">
        <w:t>l számítva 180 napig, 2024.11.28</w:t>
      </w:r>
      <w:r>
        <w:t>-ig érvényes.</w:t>
      </w:r>
    </w:p>
    <w:p w:rsidR="00DA237F" w:rsidRDefault="00DA237F" w:rsidP="00DA237F">
      <w:pPr>
        <w:rPr>
          <w:sz w:val="32"/>
          <w:szCs w:val="32"/>
        </w:rPr>
      </w:pPr>
    </w:p>
    <w:p w:rsidR="00DA237F" w:rsidRDefault="00DA237F" w:rsidP="00DA237F">
      <w:pPr>
        <w:pStyle w:val="Cmsor2"/>
      </w:pPr>
      <w:r>
        <w:t>MELLÉKLETEK:</w:t>
      </w:r>
    </w:p>
    <w:p w:rsidR="00DA237F" w:rsidRDefault="00DA237F" w:rsidP="00DA237F">
      <w:proofErr w:type="spellStart"/>
      <w:r>
        <w:t>-Tulajdoni</w:t>
      </w:r>
      <w:proofErr w:type="spellEnd"/>
      <w:r>
        <w:t xml:space="preserve"> lap másolat</w:t>
      </w:r>
    </w:p>
    <w:p w:rsidR="00DA237F" w:rsidRDefault="00DA237F" w:rsidP="00DA237F">
      <w:proofErr w:type="spellStart"/>
      <w:r>
        <w:t>-Térképszelvény</w:t>
      </w:r>
      <w:proofErr w:type="spellEnd"/>
      <w:r>
        <w:t xml:space="preserve"> másolat</w:t>
      </w:r>
    </w:p>
    <w:p w:rsidR="00DA237F" w:rsidRDefault="00DA237F" w:rsidP="00DA237F">
      <w:proofErr w:type="spellStart"/>
      <w:r>
        <w:t>-Fotók</w:t>
      </w:r>
      <w:proofErr w:type="spellEnd"/>
    </w:p>
    <w:p w:rsidR="00252336" w:rsidRDefault="00252336"/>
    <w:p w:rsidR="00806EF6" w:rsidRDefault="00806EF6"/>
    <w:p w:rsidR="00806EF6" w:rsidRDefault="00806EF6"/>
    <w:p w:rsidR="00806EF6" w:rsidRDefault="00806EF6"/>
    <w:p w:rsidR="00806EF6" w:rsidRDefault="00806EF6"/>
    <w:p w:rsidR="00806EF6" w:rsidRDefault="00806EF6" w:rsidP="00806EF6">
      <w:pPr>
        <w:pStyle w:val="NormlWeb"/>
      </w:pPr>
    </w:p>
    <w:sectPr w:rsidR="00806EF6" w:rsidSect="0025233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168" w:rsidRDefault="001A0168" w:rsidP="00806EF6">
      <w:pPr>
        <w:spacing w:after="0" w:line="240" w:lineRule="auto"/>
      </w:pPr>
      <w:r>
        <w:separator/>
      </w:r>
    </w:p>
  </w:endnote>
  <w:endnote w:type="continuationSeparator" w:id="0">
    <w:p w:rsidR="001A0168" w:rsidRDefault="001A0168" w:rsidP="00806E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168" w:rsidRDefault="001A0168" w:rsidP="00806EF6">
      <w:pPr>
        <w:spacing w:after="0" w:line="240" w:lineRule="auto"/>
      </w:pPr>
      <w:r>
        <w:separator/>
      </w:r>
    </w:p>
  </w:footnote>
  <w:footnote w:type="continuationSeparator" w:id="0">
    <w:p w:rsidR="001A0168" w:rsidRDefault="001A0168" w:rsidP="00806E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footnotePr>
    <w:footnote w:id="-1"/>
    <w:footnote w:id="0"/>
  </w:footnotePr>
  <w:endnotePr>
    <w:endnote w:id="-1"/>
    <w:endnote w:id="0"/>
  </w:endnotePr>
  <w:compat/>
  <w:rsids>
    <w:rsidRoot w:val="00DA237F"/>
    <w:rsid w:val="00047AC1"/>
    <w:rsid w:val="001A0168"/>
    <w:rsid w:val="00203F7D"/>
    <w:rsid w:val="00252336"/>
    <w:rsid w:val="00263BA6"/>
    <w:rsid w:val="002857D5"/>
    <w:rsid w:val="003A2D8E"/>
    <w:rsid w:val="00596B69"/>
    <w:rsid w:val="006201C6"/>
    <w:rsid w:val="00806EF6"/>
    <w:rsid w:val="009A3B9D"/>
    <w:rsid w:val="00A746C9"/>
    <w:rsid w:val="00B84CCC"/>
    <w:rsid w:val="00C04742"/>
    <w:rsid w:val="00C24C8C"/>
    <w:rsid w:val="00DA237F"/>
    <w:rsid w:val="00DC57D0"/>
    <w:rsid w:val="00E85B4D"/>
    <w:rsid w:val="00F7563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A237F"/>
    <w:pPr>
      <w:spacing w:after="200" w:line="276" w:lineRule="auto"/>
    </w:pPr>
    <w:rPr>
      <w:rFonts w:eastAsia="Calibri" w:cs="Times New Roman"/>
      <w:sz w:val="28"/>
    </w:rPr>
  </w:style>
  <w:style w:type="paragraph" w:styleId="Cmsor1">
    <w:name w:val="heading 1"/>
    <w:basedOn w:val="Norml"/>
    <w:next w:val="Norml"/>
    <w:link w:val="Cmsor1Char"/>
    <w:uiPriority w:val="9"/>
    <w:qFormat/>
    <w:rsid w:val="00DA237F"/>
    <w:pPr>
      <w:keepNext/>
      <w:keepLines/>
      <w:spacing w:before="480"/>
      <w:outlineLvl w:val="0"/>
    </w:pPr>
    <w:rPr>
      <w:rFonts w:eastAsiaTheme="majorEastAsia" w:cstheme="majorBidi"/>
      <w:b/>
      <w:bCs/>
      <w:sz w:val="36"/>
      <w:szCs w:val="32"/>
      <w:u w:val="single"/>
    </w:rPr>
  </w:style>
  <w:style w:type="paragraph" w:styleId="Cmsor2">
    <w:name w:val="heading 2"/>
    <w:basedOn w:val="Norml"/>
    <w:next w:val="Norml"/>
    <w:link w:val="Cmsor2Char"/>
    <w:uiPriority w:val="9"/>
    <w:semiHidden/>
    <w:unhideWhenUsed/>
    <w:qFormat/>
    <w:rsid w:val="00DA237F"/>
    <w:pPr>
      <w:keepNext/>
      <w:keepLines/>
      <w:spacing w:before="200"/>
      <w:outlineLvl w:val="1"/>
    </w:pPr>
    <w:rPr>
      <w:rFonts w:eastAsiaTheme="majorEastAsia" w:cstheme="majorBidi"/>
      <w:bCs/>
      <w:sz w:val="32"/>
      <w:szCs w:val="26"/>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A237F"/>
    <w:rPr>
      <w:rFonts w:eastAsiaTheme="majorEastAsia" w:cstheme="majorBidi"/>
      <w:b/>
      <w:bCs/>
      <w:sz w:val="36"/>
      <w:szCs w:val="32"/>
      <w:u w:val="single"/>
    </w:rPr>
  </w:style>
  <w:style w:type="character" w:customStyle="1" w:styleId="Cmsor2Char">
    <w:name w:val="Címsor 2 Char"/>
    <w:basedOn w:val="Bekezdsalapbettpusa"/>
    <w:link w:val="Cmsor2"/>
    <w:uiPriority w:val="9"/>
    <w:semiHidden/>
    <w:rsid w:val="00DA237F"/>
    <w:rPr>
      <w:rFonts w:eastAsiaTheme="majorEastAsia" w:cstheme="majorBidi"/>
      <w:bCs/>
      <w:sz w:val="32"/>
      <w:szCs w:val="26"/>
      <w:u w:val="single"/>
    </w:rPr>
  </w:style>
  <w:style w:type="table" w:styleId="Rcsostblzat">
    <w:name w:val="Table Grid"/>
    <w:basedOn w:val="Normltblzat"/>
    <w:uiPriority w:val="59"/>
    <w:rsid w:val="00DA237F"/>
    <w:pPr>
      <w:ind w:left="1985" w:right="1134"/>
      <w:jc w:val="both"/>
    </w:pPr>
    <w:rPr>
      <w:rFonts w:ascii="Times New Roman" w:hAnsi="Times New Roman" w:cs="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Web">
    <w:name w:val="Normal (Web)"/>
    <w:basedOn w:val="Norml"/>
    <w:uiPriority w:val="99"/>
    <w:unhideWhenUsed/>
    <w:rsid w:val="00806EF6"/>
    <w:pPr>
      <w:spacing w:before="100" w:beforeAutospacing="1" w:after="100" w:afterAutospacing="1" w:line="240" w:lineRule="auto"/>
    </w:pPr>
    <w:rPr>
      <w:rFonts w:ascii="Times New Roman" w:eastAsia="Times New Roman" w:hAnsi="Times New Roman"/>
      <w:sz w:val="24"/>
      <w:szCs w:val="24"/>
      <w:lang w:eastAsia="hu-HU"/>
    </w:rPr>
  </w:style>
  <w:style w:type="paragraph" w:styleId="Buborkszveg">
    <w:name w:val="Balloon Text"/>
    <w:basedOn w:val="Norml"/>
    <w:link w:val="BuborkszvegChar"/>
    <w:uiPriority w:val="99"/>
    <w:semiHidden/>
    <w:unhideWhenUsed/>
    <w:rsid w:val="00806EF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806EF6"/>
    <w:rPr>
      <w:rFonts w:ascii="Tahoma" w:eastAsia="Calibri" w:hAnsi="Tahoma" w:cs="Tahoma"/>
      <w:sz w:val="16"/>
      <w:szCs w:val="16"/>
    </w:rPr>
  </w:style>
  <w:style w:type="paragraph" w:styleId="lfej">
    <w:name w:val="header"/>
    <w:basedOn w:val="Norml"/>
    <w:link w:val="lfejChar"/>
    <w:uiPriority w:val="99"/>
    <w:semiHidden/>
    <w:unhideWhenUsed/>
    <w:rsid w:val="00806EF6"/>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806EF6"/>
    <w:rPr>
      <w:rFonts w:eastAsia="Calibri" w:cs="Times New Roman"/>
      <w:sz w:val="28"/>
    </w:rPr>
  </w:style>
  <w:style w:type="paragraph" w:styleId="llb">
    <w:name w:val="footer"/>
    <w:basedOn w:val="Norml"/>
    <w:link w:val="llbChar"/>
    <w:uiPriority w:val="99"/>
    <w:semiHidden/>
    <w:unhideWhenUsed/>
    <w:rsid w:val="00806EF6"/>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806EF6"/>
    <w:rPr>
      <w:rFonts w:eastAsia="Calibri" w:cs="Times New Roman"/>
      <w:sz w:val="28"/>
    </w:rPr>
  </w:style>
</w:styles>
</file>

<file path=word/webSettings.xml><?xml version="1.0" encoding="utf-8"?>
<w:webSettings xmlns:r="http://schemas.openxmlformats.org/officeDocument/2006/relationships" xmlns:w="http://schemas.openxmlformats.org/wordprocessingml/2006/main">
  <w:divs>
    <w:div w:id="140465693">
      <w:bodyDiv w:val="1"/>
      <w:marLeft w:val="0"/>
      <w:marRight w:val="0"/>
      <w:marTop w:val="0"/>
      <w:marBottom w:val="0"/>
      <w:divBdr>
        <w:top w:val="none" w:sz="0" w:space="0" w:color="auto"/>
        <w:left w:val="none" w:sz="0" w:space="0" w:color="auto"/>
        <w:bottom w:val="none" w:sz="0" w:space="0" w:color="auto"/>
        <w:right w:val="none" w:sz="0" w:space="0" w:color="auto"/>
      </w:divBdr>
    </w:div>
    <w:div w:id="150852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835</Words>
  <Characters>5769</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Felhasználó</cp:lastModifiedBy>
  <cp:revision>6</cp:revision>
  <dcterms:created xsi:type="dcterms:W3CDTF">2024-05-28T17:32:00Z</dcterms:created>
  <dcterms:modified xsi:type="dcterms:W3CDTF">2024-05-28T21:00:00Z</dcterms:modified>
</cp:coreProperties>
</file>